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bookmarkStart w:colFirst="0" w:colLast="0" w:name="_11dfi7hcy227" w:id="0"/>
      <w:bookmarkEnd w:id="0"/>
      <w:r w:rsidDel="00000000" w:rsidR="00000000" w:rsidRPr="00000000">
        <w:rPr>
          <w:rtl w:val="0"/>
        </w:rPr>
        <w:t xml:space="preserve">Lidé se </w:t>
      </w:r>
      <w:r w:rsidDel="00000000" w:rsidR="00000000" w:rsidRPr="00000000">
        <w:rPr>
          <w:rtl w:val="0"/>
        </w:rPr>
        <w:t xml:space="preserve">zdravotním postižením</w:t>
      </w:r>
      <w:r w:rsidDel="00000000" w:rsidR="00000000" w:rsidRPr="00000000">
        <w:rPr>
          <w:rtl w:val="0"/>
        </w:rPr>
        <w:t xml:space="preserve"> nebo chronickým onemocněním chtějí změnu sociálního systému</w:t>
      </w:r>
    </w:p>
    <w:p w:rsidR="00000000" w:rsidDel="00000000" w:rsidP="00000000" w:rsidRDefault="00000000" w:rsidRPr="00000000" w14:paraId="00000002">
      <w:pPr>
        <w:pStyle w:val="Subtitle"/>
        <w:jc w:val="both"/>
        <w:rPr/>
      </w:pPr>
      <w:bookmarkStart w:colFirst="0" w:colLast="0" w:name="_kc7de7euwprt" w:id="1"/>
      <w:bookmarkEnd w:id="1"/>
      <w:r w:rsidDel="00000000" w:rsidR="00000000" w:rsidRPr="00000000">
        <w:rPr>
          <w:rtl w:val="0"/>
        </w:rPr>
        <w:t xml:space="preserve">Aliance pro individualizovanou podporu představuje tři pilíře změny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Praha, </w:t>
      </w:r>
      <w:r w:rsidDel="00000000" w:rsidR="00000000" w:rsidRPr="00000000">
        <w:rPr>
          <w:b w:val="1"/>
          <w:rtl w:val="0"/>
        </w:rPr>
        <w:t xml:space="preserve">4. května </w:t>
      </w:r>
      <w:r w:rsidDel="00000000" w:rsidR="00000000" w:rsidRPr="00000000">
        <w:rPr>
          <w:b w:val="1"/>
          <w:rtl w:val="0"/>
        </w:rPr>
        <w:t xml:space="preserve">2021</w:t>
      </w:r>
      <w:r w:rsidDel="00000000" w:rsidR="00000000" w:rsidRPr="00000000">
        <w:rPr>
          <w:b w:val="1"/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Aliance pro individualizovanou podporu (AIP)</w:t>
      </w:r>
      <w:r w:rsidDel="00000000" w:rsidR="00000000" w:rsidRPr="00000000">
        <w:rPr>
          <w:b w:val="1"/>
          <w:rtl w:val="0"/>
        </w:rPr>
        <w:t xml:space="preserve"> zkoumala</w:t>
      </w:r>
      <w:r w:rsidDel="00000000" w:rsidR="00000000" w:rsidRPr="00000000">
        <w:rPr>
          <w:b w:val="1"/>
          <w:rtl w:val="0"/>
        </w:rPr>
        <w:t xml:space="preserve"> zkušenosti</w:t>
      </w:r>
      <w:r w:rsidDel="00000000" w:rsidR="00000000" w:rsidRPr="00000000">
        <w:rPr>
          <w:b w:val="1"/>
          <w:rtl w:val="0"/>
        </w:rPr>
        <w:t xml:space="preserve"> lidí se zdravotním postižením a chronickým onemocněním</w:t>
      </w:r>
      <w:r w:rsidDel="00000000" w:rsidR="00000000" w:rsidRPr="00000000">
        <w:rPr>
          <w:b w:val="1"/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desítky českých i zahraničních šetření, analýz a studií, aby </w:t>
      </w:r>
      <w:r w:rsidDel="00000000" w:rsidR="00000000" w:rsidRPr="00000000">
        <w:rPr>
          <w:b w:val="1"/>
          <w:rtl w:val="0"/>
        </w:rPr>
        <w:t xml:space="preserve">identifikovala</w:t>
      </w:r>
      <w:r w:rsidDel="00000000" w:rsidR="00000000" w:rsidRPr="00000000">
        <w:rPr>
          <w:b w:val="1"/>
          <w:rtl w:val="0"/>
        </w:rPr>
        <w:t xml:space="preserve"> klíčové body, které je třeba v sociálních službách změnit.</w:t>
      </w:r>
      <w:r w:rsidDel="00000000" w:rsidR="00000000" w:rsidRPr="00000000">
        <w:rPr>
          <w:b w:val="1"/>
          <w:rtl w:val="0"/>
        </w:rPr>
        <w:t xml:space="preserve"> Představuje tři pilíře nutné ke změně systému péče, které zvýší informovanost příjemců a adresnost potřebné pomoci.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V Česku žije dle aktuálních šetření více než 1,4 milionu lidí se zdravotním postižením nebo chronickým onemocněním a na 1,5 až 2 miliony neformálních pečujících. Na to, zda jim stávající podpora a péče opravdu pomáhá a co jim naopak život </w:t>
      </w:r>
      <w:r w:rsidDel="00000000" w:rsidR="00000000" w:rsidRPr="00000000">
        <w:rPr>
          <w:rtl w:val="0"/>
        </w:rPr>
        <w:t xml:space="preserve">spíše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ztěžuje</w:t>
      </w:r>
      <w:r w:rsidDel="00000000" w:rsidR="00000000" w:rsidRPr="00000000">
        <w:rPr>
          <w:rtl w:val="0"/>
        </w:rPr>
        <w:t xml:space="preserve">, se jich </w:t>
      </w:r>
      <w:r w:rsidDel="00000000" w:rsidR="00000000" w:rsidRPr="00000000">
        <w:rPr>
          <w:rtl w:val="0"/>
        </w:rPr>
        <w:t xml:space="preserve">nikdy nikdo systematicky neptal.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AIP </w:t>
      </w:r>
      <w:r w:rsidDel="00000000" w:rsidR="00000000" w:rsidRPr="00000000">
        <w:rPr>
          <w:rtl w:val="0"/>
        </w:rPr>
        <w:t xml:space="preserve">věnovala několik měsíců tomu, aby se na systém podívala jejich očima a </w:t>
      </w:r>
      <w:r w:rsidDel="00000000" w:rsidR="00000000" w:rsidRPr="00000000">
        <w:rPr>
          <w:rtl w:val="0"/>
        </w:rPr>
        <w:t xml:space="preserve">mapovala jejich životní </w:t>
      </w:r>
      <w:r w:rsidDel="00000000" w:rsidR="00000000" w:rsidRPr="00000000">
        <w:rPr>
          <w:rtl w:val="0"/>
        </w:rPr>
        <w:t xml:space="preserve">zkušenosti</w:t>
      </w:r>
      <w:r w:rsidDel="00000000" w:rsidR="00000000" w:rsidRPr="00000000">
        <w:rPr>
          <w:rtl w:val="0"/>
        </w:rPr>
        <w:t xml:space="preserve">. P</w:t>
      </w:r>
      <w:r w:rsidDel="00000000" w:rsidR="00000000" w:rsidRPr="00000000">
        <w:rPr>
          <w:rtl w:val="0"/>
        </w:rPr>
        <w:t xml:space="preserve">rošla desítky českých i zahraničních šetření, analýz a studií, aby </w:t>
      </w:r>
      <w:r w:rsidDel="00000000" w:rsidR="00000000" w:rsidRPr="00000000">
        <w:rPr>
          <w:rtl w:val="0"/>
        </w:rPr>
        <w:t xml:space="preserve">identifikovala první tři klíčové body v oblasti sociálních služeb, které je třeba změnit.</w:t>
      </w:r>
    </w:p>
    <w:p w:rsidR="00000000" w:rsidDel="00000000" w:rsidP="00000000" w:rsidRDefault="00000000" w:rsidRPr="00000000" w14:paraId="00000008">
      <w:pPr>
        <w:pStyle w:val="Heading3"/>
        <w:jc w:val="both"/>
        <w:rPr/>
      </w:pPr>
      <w:bookmarkStart w:colFirst="0" w:colLast="0" w:name="_pr70tmufcg6e" w:id="2"/>
      <w:bookmarkEnd w:id="2"/>
      <w:r w:rsidDel="00000000" w:rsidR="00000000" w:rsidRPr="00000000">
        <w:rPr>
          <w:rtl w:val="0"/>
        </w:rPr>
        <w:t xml:space="preserve">Tři pilíře změny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Systém sociální podpory a péče je pro lidi nepřehledný a složitý. Drtivá většina z nich se v něm nikdy skutečně </w:t>
      </w:r>
      <w:r w:rsidDel="00000000" w:rsidR="00000000" w:rsidRPr="00000000">
        <w:rPr>
          <w:rtl w:val="0"/>
        </w:rPr>
        <w:t xml:space="preserve">nezorientuje</w:t>
      </w:r>
      <w:r w:rsidDel="00000000" w:rsidR="00000000" w:rsidRPr="00000000">
        <w:rPr>
          <w:rtl w:val="0"/>
        </w:rPr>
        <w:t xml:space="preserve"> a nemůže si být jistá, že dostává skutečně optimální pomoc. První navrhovanou změnou je ted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b w:val="1"/>
          <w:rtl w:val="0"/>
        </w:rPr>
        <w:t xml:space="preserve">koordinovaná podpora a provázení systémem.</w:t>
      </w:r>
      <w:r w:rsidDel="00000000" w:rsidR="00000000" w:rsidRPr="00000000">
        <w:rPr>
          <w:rtl w:val="0"/>
        </w:rPr>
        <w:t xml:space="preserve"> Kontaktní síť poskytne informace včas, bude schopna péči a podporu na různých úrovních kvalifikovaně koordinovat a najít nejvhodnější způsob pomoci.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Vstup do systému je v podobě řízení o příspěvku na péči nastaven nelogicky a nespravedlivě. Druhá změna znamená </w:t>
      </w:r>
      <w:r w:rsidDel="00000000" w:rsidR="00000000" w:rsidRPr="00000000">
        <w:rPr>
          <w:b w:val="1"/>
          <w:rtl w:val="0"/>
        </w:rPr>
        <w:t xml:space="preserve">spravedlivé posouzení potřeb</w:t>
      </w:r>
      <w:r w:rsidDel="00000000" w:rsidR="00000000" w:rsidRPr="00000000">
        <w:rPr>
          <w:rtl w:val="0"/>
        </w:rPr>
        <w:t xml:space="preserve">. Takové, v jehož centru stojí skutečné potřeby lidí a situace, ve které se nacházejí. Posouzení, v rámci kterého se zjišťuje, kolik podpory a jak náročnou péči kdo potřebuje.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Síť sociálních služeb je navíc po území ČR rozložena velmi nerovnoměrně. Třetí změnou tedy musí být </w:t>
      </w:r>
      <w:r w:rsidDel="00000000" w:rsidR="00000000" w:rsidRPr="00000000">
        <w:rPr>
          <w:b w:val="1"/>
          <w:rtl w:val="0"/>
        </w:rPr>
        <w:t xml:space="preserve">místně i časově dostupné sociální služby, které poskytnou potřebnou podporu každému, kdo ji potřebuje. Bez ohledu na místo jeho bydliště</w:t>
      </w:r>
      <w:r w:rsidDel="00000000" w:rsidR="00000000" w:rsidRPr="00000000">
        <w:rPr>
          <w:rtl w:val="0"/>
        </w:rPr>
        <w:t xml:space="preserve">. To dokáže zajistit jen v</w:t>
      </w:r>
      <w:r w:rsidDel="00000000" w:rsidR="00000000" w:rsidRPr="00000000">
        <w:rPr>
          <w:rtl w:val="0"/>
        </w:rPr>
        <w:t xml:space="preserve">yvážená síť sociálních služeb, která adekvátně reaguje na potřeby lidí. Síť s vyváženou terénní, pobytovou i ambulantní podporou a místně i časově dostupnou péčí na celém území Česka.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AIP</w:t>
      </w:r>
      <w:r w:rsidDel="00000000" w:rsidR="00000000" w:rsidRPr="00000000">
        <w:rPr>
          <w:rtl w:val="0"/>
        </w:rPr>
        <w:t xml:space="preserve"> bude následující měsíce věnovat </w:t>
      </w:r>
      <w:r w:rsidDel="00000000" w:rsidR="00000000" w:rsidRPr="00000000">
        <w:rPr>
          <w:rtl w:val="0"/>
        </w:rPr>
        <w:t xml:space="preserve">podrobnému</w:t>
      </w:r>
      <w:r w:rsidDel="00000000" w:rsidR="00000000" w:rsidRPr="00000000">
        <w:rPr>
          <w:rtl w:val="0"/>
        </w:rPr>
        <w:t xml:space="preserve"> rozpracování modelu individualizované podpory.</w:t>
      </w:r>
      <w:r w:rsidDel="00000000" w:rsidR="00000000" w:rsidRPr="00000000">
        <w:rPr>
          <w:i w:val="1"/>
          <w:rtl w:val="0"/>
        </w:rPr>
        <w:t xml:space="preserve"> „Vedle zpětné vazby od lidí se zdravotním postižením a chronickým onemocněním a těch, kteří o ně pečují, a konzultací s experty a odborníky z praxe budeme nyní ještě intenzivněji pracovat s příklady dobré zahraniční, ale i domácí praxe na místní či regionální úrovni, tak aby se výsledný model dal co možná nejlépe uvést do praxe,”</w:t>
      </w:r>
      <w:r w:rsidDel="00000000" w:rsidR="00000000" w:rsidRPr="00000000">
        <w:rPr>
          <w:rtl w:val="0"/>
        </w:rPr>
        <w:t xml:space="preserve">  říká </w:t>
      </w:r>
      <w:r w:rsidDel="00000000" w:rsidR="00000000" w:rsidRPr="00000000">
        <w:rPr>
          <w:b w:val="1"/>
          <w:rtl w:val="0"/>
        </w:rPr>
        <w:t xml:space="preserve">Jana Havlíková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která v Alianci řídí expertní činnosti.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Pro návrhy na změnu systému bude Aliance souběžně hledat společenskou a politickou podporu. </w:t>
      </w:r>
      <w:r w:rsidDel="00000000" w:rsidR="00000000" w:rsidRPr="00000000">
        <w:rPr>
          <w:i w:val="1"/>
          <w:rtl w:val="0"/>
        </w:rPr>
        <w:t xml:space="preserve">„Chceme, aby byl systém postaven kolem těch, kterým má pomáhat, tedy kolem lidí se zdravotním postižením a pečujících. Věříme tomu, že pozitivní změna je možná a musí být součástí změn, které Českou republiku čekají při obnově po současné krizi,” </w:t>
      </w:r>
      <w:r w:rsidDel="00000000" w:rsidR="00000000" w:rsidRPr="00000000">
        <w:rPr>
          <w:rtl w:val="0"/>
        </w:rPr>
        <w:t xml:space="preserve">uvádí </w:t>
      </w:r>
      <w:r w:rsidDel="00000000" w:rsidR="00000000" w:rsidRPr="00000000">
        <w:rPr>
          <w:b w:val="1"/>
          <w:rtl w:val="0"/>
        </w:rPr>
        <w:t xml:space="preserve">Agáta Jankovská</w:t>
      </w:r>
      <w:r w:rsidDel="00000000" w:rsidR="00000000" w:rsidRPr="00000000">
        <w:rPr>
          <w:rtl w:val="0"/>
        </w:rPr>
        <w:t xml:space="preserve">, výkonná ředitelka Aliance.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Aliance pro individualizovanou podporu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AIP</w:t>
      </w:r>
      <w:r w:rsidDel="00000000" w:rsidR="00000000" w:rsidRPr="00000000">
        <w:rPr>
          <w:rtl w:val="0"/>
        </w:rPr>
        <w:t xml:space="preserve"> sdružuje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na šedesát</w:t>
        </w:r>
      </w:hyperlink>
      <w:r w:rsidDel="00000000" w:rsidR="00000000" w:rsidRPr="00000000">
        <w:rPr>
          <w:rtl w:val="0"/>
        </w:rPr>
        <w:t xml:space="preserve"> převážně rodičovských, pacientských a zastřešujících organizací a spolků, které hájí zájmy osob se zdravotním postižením či chronickým onemocněním a vyššími nároky na podporu a péči a jejich pečujících. Vznikla jako reakce na nedostatky v systematickém sledování potřeb těchto lidí a nedostatečnou dostupnost podpory a péče. Usiluje o zlepšení podmínek lidí s vyššími nároky na podporu a péči bez ohledu na diagnózu či typ zdravotního postižení i o lepší podmínky pro pečující osoby.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AIP podporuje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Nadace OSF</w:t>
        </w:r>
      </w:hyperlink>
      <w:r w:rsidDel="00000000" w:rsidR="00000000" w:rsidRPr="00000000">
        <w:rPr>
          <w:rtl w:val="0"/>
        </w:rPr>
        <w:t xml:space="preserve"> v rámci programu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Active Citizens Fund</w:t>
        </w:r>
      </w:hyperlink>
      <w:r w:rsidDel="00000000" w:rsidR="00000000" w:rsidRPr="00000000">
        <w:rPr>
          <w:rtl w:val="0"/>
        </w:rPr>
        <w:t xml:space="preserve">, jehož cílem je podpora občanské společnosti a posílení kapacit neziskových organizací. Program je financován z 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Fondů EHP a Norska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Jenda Žáček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777 800 254,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jenda@zacci.cz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Přílohy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Víte, že… Doplňkové informace a fakta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Prezentace představená na tiskové konferenci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6731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7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40.0000000000002" w:top="1275.590551181102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Style w:val="Heading2"/>
      <w:jc w:val="right"/>
      <w:rPr/>
    </w:pPr>
    <w:bookmarkStart w:colFirst="0" w:colLast="0" w:name="_ne0il80lgme" w:id="3"/>
    <w:bookmarkEnd w:id="3"/>
    <w:r w:rsidDel="00000000" w:rsidR="00000000" w:rsidRPr="00000000">
      <w:rPr/>
      <w:drawing>
        <wp:inline distB="19050" distT="19050" distL="19050" distR="19050">
          <wp:extent cx="1519238" cy="85343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20" l="0" r="0" t="-2820"/>
                  <a:stretch>
                    <a:fillRect/>
                  </a:stretch>
                </pic:blipFill>
                <pic:spPr>
                  <a:xfrm>
                    <a:off x="0" y="0"/>
                    <a:ext cx="1519238" cy="8534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hyperlink" Target="mailto:jenda@zacci.cz" TargetMode="External"/><Relationship Id="rId12" Type="http://schemas.openxmlformats.org/officeDocument/2006/relationships/header" Target="header1.xml"/><Relationship Id="rId9" Type="http://schemas.openxmlformats.org/officeDocument/2006/relationships/hyperlink" Target="https://eeagrants.org/" TargetMode="External"/><Relationship Id="rId5" Type="http://schemas.openxmlformats.org/officeDocument/2006/relationships/styles" Target="styles.xml"/><Relationship Id="rId6" Type="http://schemas.openxmlformats.org/officeDocument/2006/relationships/hyperlink" Target="http://aipp.cz" TargetMode="External"/><Relationship Id="rId7" Type="http://schemas.openxmlformats.org/officeDocument/2006/relationships/hyperlink" Target="https://osf.cz/" TargetMode="External"/><Relationship Id="rId8" Type="http://schemas.openxmlformats.org/officeDocument/2006/relationships/hyperlink" Target="https://www.activecitizensfund.cz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